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C4356E">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bookmarkStart w:id="0" w:name="_GoBack"/>
      <w:bookmarkEnd w:id="0"/>
    </w:p>
    <w:p w14:paraId="411BCFE7">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湖北省文化和旅游厅2024年行政规范性文件清理情况目录</w:t>
      </w:r>
    </w:p>
    <w:tbl>
      <w:tblPr>
        <w:tblStyle w:val="3"/>
        <w:tblW w:w="14318" w:type="dxa"/>
        <w:tblInd w:w="-5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
        <w:gridCol w:w="3518"/>
        <w:gridCol w:w="8005"/>
        <w:gridCol w:w="1936"/>
      </w:tblGrid>
      <w:tr w14:paraId="31237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859" w:type="dxa"/>
            <w:vAlign w:val="center"/>
          </w:tcPr>
          <w:p w14:paraId="23AD52A5">
            <w:pPr>
              <w:keepNext w:val="0"/>
              <w:keepLines w:val="0"/>
              <w:pageBreakBefore w:val="0"/>
              <w:kinsoku/>
              <w:wordWrap/>
              <w:overflowPunct/>
              <w:topLinePunct w:val="0"/>
              <w:autoSpaceDE/>
              <w:autoSpaceDN/>
              <w:bidi w:val="0"/>
              <w:adjustRightInd/>
              <w:snapToGrid/>
              <w:spacing w:line="560" w:lineRule="exact"/>
              <w:jc w:val="center"/>
              <w:rPr>
                <w:rFonts w:hint="eastAsia" w:ascii="黑体" w:hAnsi="黑体" w:eastAsia="黑体" w:cs="黑体"/>
                <w:sz w:val="28"/>
                <w:szCs w:val="28"/>
                <w:highlight w:val="none"/>
                <w:vertAlign w:val="baseline"/>
                <w:lang w:val="en-US" w:eastAsia="zh-CN"/>
              </w:rPr>
            </w:pPr>
            <w:r>
              <w:rPr>
                <w:rFonts w:hint="eastAsia" w:ascii="黑体" w:hAnsi="黑体" w:eastAsia="黑体" w:cs="黑体"/>
                <w:sz w:val="28"/>
                <w:szCs w:val="28"/>
                <w:highlight w:val="none"/>
                <w:vertAlign w:val="baseline"/>
                <w:lang w:val="en-US" w:eastAsia="zh-CN"/>
              </w:rPr>
              <w:t>序号</w:t>
            </w:r>
          </w:p>
        </w:tc>
        <w:tc>
          <w:tcPr>
            <w:tcW w:w="3518" w:type="dxa"/>
            <w:vAlign w:val="center"/>
          </w:tcPr>
          <w:p w14:paraId="69577ECE">
            <w:pPr>
              <w:keepNext w:val="0"/>
              <w:keepLines w:val="0"/>
              <w:pageBreakBefore w:val="0"/>
              <w:kinsoku/>
              <w:wordWrap/>
              <w:overflowPunct/>
              <w:topLinePunct w:val="0"/>
              <w:autoSpaceDE/>
              <w:autoSpaceDN/>
              <w:bidi w:val="0"/>
              <w:adjustRightInd/>
              <w:snapToGrid/>
              <w:spacing w:line="560" w:lineRule="exact"/>
              <w:jc w:val="center"/>
              <w:rPr>
                <w:rFonts w:hint="eastAsia" w:ascii="黑体" w:hAnsi="黑体" w:eastAsia="黑体" w:cs="黑体"/>
                <w:sz w:val="28"/>
                <w:szCs w:val="28"/>
                <w:highlight w:val="none"/>
                <w:vertAlign w:val="baseline"/>
                <w:lang w:val="en-US" w:eastAsia="zh-CN"/>
              </w:rPr>
            </w:pPr>
            <w:r>
              <w:rPr>
                <w:rFonts w:hint="eastAsia" w:ascii="黑体" w:hAnsi="黑体" w:eastAsia="黑体" w:cs="黑体"/>
                <w:sz w:val="28"/>
                <w:szCs w:val="28"/>
                <w:highlight w:val="none"/>
                <w:vertAlign w:val="baseline"/>
                <w:lang w:val="en-US" w:eastAsia="zh-CN"/>
              </w:rPr>
              <w:t>文号</w:t>
            </w:r>
          </w:p>
        </w:tc>
        <w:tc>
          <w:tcPr>
            <w:tcW w:w="8005" w:type="dxa"/>
            <w:vAlign w:val="center"/>
          </w:tcPr>
          <w:p w14:paraId="608938DB">
            <w:pPr>
              <w:keepNext w:val="0"/>
              <w:keepLines w:val="0"/>
              <w:pageBreakBefore w:val="0"/>
              <w:kinsoku/>
              <w:wordWrap/>
              <w:overflowPunct/>
              <w:topLinePunct w:val="0"/>
              <w:autoSpaceDE/>
              <w:autoSpaceDN/>
              <w:bidi w:val="0"/>
              <w:adjustRightInd/>
              <w:snapToGrid/>
              <w:spacing w:line="560" w:lineRule="exact"/>
              <w:jc w:val="center"/>
              <w:rPr>
                <w:rFonts w:hint="eastAsia" w:ascii="黑体" w:hAnsi="黑体" w:eastAsia="黑体" w:cs="黑体"/>
                <w:sz w:val="28"/>
                <w:szCs w:val="28"/>
                <w:highlight w:val="none"/>
                <w:vertAlign w:val="baseline"/>
                <w:lang w:val="en-US" w:eastAsia="zh-CN"/>
              </w:rPr>
            </w:pPr>
            <w:r>
              <w:rPr>
                <w:rFonts w:hint="eastAsia" w:ascii="黑体" w:hAnsi="黑体" w:eastAsia="黑体" w:cs="黑体"/>
                <w:sz w:val="28"/>
                <w:szCs w:val="28"/>
                <w:highlight w:val="none"/>
                <w:vertAlign w:val="baseline"/>
                <w:lang w:val="en-US" w:eastAsia="zh-CN"/>
              </w:rPr>
              <w:t>文件名称</w:t>
            </w:r>
          </w:p>
        </w:tc>
        <w:tc>
          <w:tcPr>
            <w:tcW w:w="1936" w:type="dxa"/>
            <w:vAlign w:val="center"/>
          </w:tcPr>
          <w:p w14:paraId="214117AC">
            <w:pPr>
              <w:keepNext w:val="0"/>
              <w:keepLines w:val="0"/>
              <w:pageBreakBefore w:val="0"/>
              <w:kinsoku/>
              <w:wordWrap/>
              <w:overflowPunct/>
              <w:topLinePunct w:val="0"/>
              <w:autoSpaceDE/>
              <w:autoSpaceDN/>
              <w:bidi w:val="0"/>
              <w:adjustRightInd/>
              <w:snapToGrid/>
              <w:spacing w:line="560" w:lineRule="exact"/>
              <w:jc w:val="center"/>
              <w:rPr>
                <w:rFonts w:hint="eastAsia" w:ascii="黑体" w:hAnsi="黑体" w:eastAsia="黑体" w:cs="黑体"/>
                <w:sz w:val="28"/>
                <w:szCs w:val="28"/>
                <w:highlight w:val="none"/>
                <w:vertAlign w:val="baseline"/>
                <w:lang w:val="en-US" w:eastAsia="zh-CN"/>
              </w:rPr>
            </w:pPr>
            <w:r>
              <w:rPr>
                <w:rFonts w:hint="eastAsia" w:ascii="黑体" w:hAnsi="黑体" w:eastAsia="黑体" w:cs="黑体"/>
                <w:sz w:val="28"/>
                <w:szCs w:val="28"/>
                <w:highlight w:val="none"/>
                <w:vertAlign w:val="baseline"/>
                <w:lang w:val="en-US" w:eastAsia="zh-CN"/>
              </w:rPr>
              <w:t>清理意见</w:t>
            </w:r>
          </w:p>
        </w:tc>
      </w:tr>
      <w:tr w14:paraId="0B0D3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vAlign w:val="center"/>
          </w:tcPr>
          <w:p w14:paraId="492857BF">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1</w:t>
            </w:r>
          </w:p>
        </w:tc>
        <w:tc>
          <w:tcPr>
            <w:tcW w:w="3518" w:type="dxa"/>
            <w:vAlign w:val="center"/>
          </w:tcPr>
          <w:p w14:paraId="43CDE22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鄂政办发〔2009〕86号</w:t>
            </w:r>
          </w:p>
        </w:tc>
        <w:tc>
          <w:tcPr>
            <w:tcW w:w="8005" w:type="dxa"/>
            <w:vAlign w:val="center"/>
          </w:tcPr>
          <w:p w14:paraId="289A8E1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省人民政府办公厅关于转发省文化厅等部门关于推动全省动漫产业发展意见的通知</w:t>
            </w:r>
          </w:p>
        </w:tc>
        <w:tc>
          <w:tcPr>
            <w:tcW w:w="1936" w:type="dxa"/>
            <w:vAlign w:val="center"/>
          </w:tcPr>
          <w:p w14:paraId="491F9ACC">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计划修改</w:t>
            </w:r>
          </w:p>
        </w:tc>
      </w:tr>
      <w:tr w14:paraId="7FEC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9" w:type="dxa"/>
            <w:vAlign w:val="center"/>
          </w:tcPr>
          <w:p w14:paraId="6518BCE3">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2</w:t>
            </w:r>
          </w:p>
        </w:tc>
        <w:tc>
          <w:tcPr>
            <w:tcW w:w="3518" w:type="dxa"/>
            <w:vAlign w:val="center"/>
          </w:tcPr>
          <w:p w14:paraId="1A335297">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p>
        </w:tc>
        <w:tc>
          <w:tcPr>
            <w:tcW w:w="8005" w:type="dxa"/>
            <w:vAlign w:val="center"/>
          </w:tcPr>
          <w:p w14:paraId="3765B37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关于贯彻落实 《娱乐场所管理办法》的通知</w:t>
            </w:r>
          </w:p>
        </w:tc>
        <w:tc>
          <w:tcPr>
            <w:tcW w:w="1936" w:type="dxa"/>
            <w:vAlign w:val="center"/>
          </w:tcPr>
          <w:p w14:paraId="3147A781">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继续有效</w:t>
            </w:r>
          </w:p>
        </w:tc>
      </w:tr>
      <w:tr w14:paraId="6F37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vAlign w:val="center"/>
          </w:tcPr>
          <w:p w14:paraId="484E17E3">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3</w:t>
            </w:r>
          </w:p>
        </w:tc>
        <w:tc>
          <w:tcPr>
            <w:tcW w:w="3518" w:type="dxa"/>
            <w:vAlign w:val="center"/>
          </w:tcPr>
          <w:p w14:paraId="6F147858">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p>
        </w:tc>
        <w:tc>
          <w:tcPr>
            <w:tcW w:w="8005" w:type="dxa"/>
            <w:vAlign w:val="center"/>
          </w:tcPr>
          <w:p w14:paraId="3598BEE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湖北省文化产业示范园区管理暂行办法</w:t>
            </w:r>
          </w:p>
        </w:tc>
        <w:tc>
          <w:tcPr>
            <w:tcW w:w="1936" w:type="dxa"/>
            <w:vAlign w:val="center"/>
          </w:tcPr>
          <w:p w14:paraId="66A450B0">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继续有效</w:t>
            </w:r>
          </w:p>
        </w:tc>
      </w:tr>
      <w:tr w14:paraId="2699A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9" w:type="dxa"/>
            <w:vAlign w:val="center"/>
          </w:tcPr>
          <w:p w14:paraId="2F4F37A9">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4</w:t>
            </w:r>
          </w:p>
        </w:tc>
        <w:tc>
          <w:tcPr>
            <w:tcW w:w="3518" w:type="dxa"/>
            <w:vAlign w:val="center"/>
          </w:tcPr>
          <w:p w14:paraId="666DA81A">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p>
        </w:tc>
        <w:tc>
          <w:tcPr>
            <w:tcW w:w="8005" w:type="dxa"/>
            <w:vAlign w:val="center"/>
          </w:tcPr>
          <w:p w14:paraId="4339AFE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关于印发开展文化志愿服务活动意见的通知</w:t>
            </w:r>
          </w:p>
        </w:tc>
        <w:tc>
          <w:tcPr>
            <w:tcW w:w="1936" w:type="dxa"/>
            <w:vAlign w:val="center"/>
          </w:tcPr>
          <w:p w14:paraId="57480FFB">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继续有效</w:t>
            </w:r>
          </w:p>
        </w:tc>
      </w:tr>
      <w:tr w14:paraId="6CA9C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859" w:type="dxa"/>
            <w:vAlign w:val="center"/>
          </w:tcPr>
          <w:p w14:paraId="3A1A798B">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5</w:t>
            </w:r>
          </w:p>
        </w:tc>
        <w:tc>
          <w:tcPr>
            <w:tcW w:w="3518" w:type="dxa"/>
            <w:vAlign w:val="center"/>
          </w:tcPr>
          <w:p w14:paraId="133FE90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鄂文化文〔2014〕54号</w:t>
            </w:r>
          </w:p>
        </w:tc>
        <w:tc>
          <w:tcPr>
            <w:tcW w:w="8005" w:type="dxa"/>
            <w:vAlign w:val="center"/>
          </w:tcPr>
          <w:p w14:paraId="4AB9243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关于深入推进湖北省文化金融合作的实施意见</w:t>
            </w:r>
          </w:p>
        </w:tc>
        <w:tc>
          <w:tcPr>
            <w:tcW w:w="1936" w:type="dxa"/>
            <w:vAlign w:val="center"/>
          </w:tcPr>
          <w:p w14:paraId="07C1FCF0">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sz w:val="28"/>
                <w:szCs w:val="28"/>
                <w:highlight w:val="none"/>
                <w:vertAlign w:val="baseline"/>
                <w:lang w:val="en-US" w:eastAsia="zh-CN"/>
              </w:rPr>
            </w:pPr>
            <w:r>
              <w:rPr>
                <w:rFonts w:hint="eastAsia" w:ascii="Times New Roman" w:hAnsi="Times New Roman" w:eastAsia="仿宋_GB2312" w:cs="Times New Roman"/>
                <w:sz w:val="28"/>
                <w:szCs w:val="28"/>
                <w:highlight w:val="none"/>
                <w:vertAlign w:val="baseline"/>
                <w:lang w:val="en-US" w:eastAsia="zh-CN"/>
              </w:rPr>
              <w:t>宣布失效</w:t>
            </w:r>
          </w:p>
        </w:tc>
      </w:tr>
      <w:tr w14:paraId="71723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9" w:type="dxa"/>
            <w:vAlign w:val="center"/>
          </w:tcPr>
          <w:p w14:paraId="2439D34F">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6</w:t>
            </w:r>
          </w:p>
        </w:tc>
        <w:tc>
          <w:tcPr>
            <w:tcW w:w="3518" w:type="dxa"/>
            <w:vAlign w:val="center"/>
          </w:tcPr>
          <w:p w14:paraId="15FE992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鄂文化文〔2014〕125号</w:t>
            </w:r>
          </w:p>
        </w:tc>
        <w:tc>
          <w:tcPr>
            <w:tcW w:w="8005" w:type="dxa"/>
            <w:vAlign w:val="center"/>
          </w:tcPr>
          <w:p w14:paraId="318A299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关于进一步加强全省社会文艺团队建设的意见</w:t>
            </w:r>
          </w:p>
        </w:tc>
        <w:tc>
          <w:tcPr>
            <w:tcW w:w="1936" w:type="dxa"/>
            <w:vAlign w:val="center"/>
          </w:tcPr>
          <w:p w14:paraId="0CE61094">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继续有效</w:t>
            </w:r>
          </w:p>
        </w:tc>
      </w:tr>
      <w:tr w14:paraId="3268F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9" w:type="dxa"/>
            <w:vAlign w:val="center"/>
          </w:tcPr>
          <w:p w14:paraId="22F1A243">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7</w:t>
            </w:r>
          </w:p>
        </w:tc>
        <w:tc>
          <w:tcPr>
            <w:tcW w:w="3518" w:type="dxa"/>
            <w:vAlign w:val="center"/>
          </w:tcPr>
          <w:p w14:paraId="621CDBA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鄂文化文〔2014〕126号</w:t>
            </w:r>
          </w:p>
        </w:tc>
        <w:tc>
          <w:tcPr>
            <w:tcW w:w="8005" w:type="dxa"/>
            <w:vAlign w:val="center"/>
          </w:tcPr>
          <w:p w14:paraId="2E240D3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关于进一步推进全省农村文化广场建设的意见</w:t>
            </w:r>
          </w:p>
        </w:tc>
        <w:tc>
          <w:tcPr>
            <w:tcW w:w="1936" w:type="dxa"/>
            <w:vAlign w:val="center"/>
          </w:tcPr>
          <w:p w14:paraId="3C4C2E8C">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继续有效</w:t>
            </w:r>
          </w:p>
        </w:tc>
      </w:tr>
      <w:tr w14:paraId="0A474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vAlign w:val="center"/>
          </w:tcPr>
          <w:p w14:paraId="185C3A98">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8</w:t>
            </w:r>
          </w:p>
        </w:tc>
        <w:tc>
          <w:tcPr>
            <w:tcW w:w="3518" w:type="dxa"/>
            <w:vAlign w:val="center"/>
          </w:tcPr>
          <w:p w14:paraId="57A8B826">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p>
        </w:tc>
        <w:tc>
          <w:tcPr>
            <w:tcW w:w="8005" w:type="dxa"/>
            <w:vAlign w:val="center"/>
          </w:tcPr>
          <w:p w14:paraId="435DDC5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关于印发《湖北省文化产业示范基地管理办法》的通知</w:t>
            </w:r>
          </w:p>
        </w:tc>
        <w:tc>
          <w:tcPr>
            <w:tcW w:w="1936" w:type="dxa"/>
            <w:vAlign w:val="center"/>
          </w:tcPr>
          <w:p w14:paraId="7CBA3988">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继续有效</w:t>
            </w:r>
          </w:p>
        </w:tc>
      </w:tr>
      <w:tr w14:paraId="17D18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vAlign w:val="center"/>
          </w:tcPr>
          <w:p w14:paraId="32E3E6CF">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9</w:t>
            </w:r>
          </w:p>
        </w:tc>
        <w:tc>
          <w:tcPr>
            <w:tcW w:w="3518" w:type="dxa"/>
            <w:vAlign w:val="center"/>
          </w:tcPr>
          <w:p w14:paraId="3B3ADFC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鄂政发</w:t>
            </w:r>
            <w:r>
              <w:rPr>
                <w:rFonts w:hint="eastAsia" w:ascii="Times New Roman" w:hAnsi="Times New Roman" w:eastAsia="仿宋_GB2312" w:cs="Times New Roman"/>
                <w:i w:val="0"/>
                <w:iCs w:val="0"/>
                <w:color w:val="000000"/>
                <w:kern w:val="0"/>
                <w:sz w:val="28"/>
                <w:szCs w:val="28"/>
                <w:highlight w:val="none"/>
                <w:u w:val="none"/>
                <w:lang w:val="en-US" w:eastAsia="zh-CN" w:bidi="ar"/>
              </w:rPr>
              <w:t>〔</w:t>
            </w:r>
            <w:r>
              <w:rPr>
                <w:rFonts w:hint="default" w:ascii="Times New Roman" w:hAnsi="Times New Roman" w:eastAsia="仿宋_GB2312" w:cs="Times New Roman"/>
                <w:i w:val="0"/>
                <w:iCs w:val="0"/>
                <w:color w:val="000000"/>
                <w:kern w:val="0"/>
                <w:sz w:val="28"/>
                <w:szCs w:val="28"/>
                <w:highlight w:val="none"/>
                <w:u w:val="none"/>
                <w:lang w:val="en-US" w:eastAsia="zh-CN" w:bidi="ar"/>
              </w:rPr>
              <w:t>2015</w:t>
            </w:r>
            <w:r>
              <w:rPr>
                <w:rFonts w:hint="eastAsia" w:ascii="Times New Roman" w:hAnsi="Times New Roman" w:eastAsia="仿宋_GB2312" w:cs="Times New Roman"/>
                <w:i w:val="0"/>
                <w:iCs w:val="0"/>
                <w:color w:val="000000"/>
                <w:kern w:val="0"/>
                <w:sz w:val="28"/>
                <w:szCs w:val="28"/>
                <w:highlight w:val="none"/>
                <w:u w:val="none"/>
                <w:lang w:val="en-US" w:eastAsia="zh-CN" w:bidi="ar"/>
              </w:rPr>
              <w:t>〕</w:t>
            </w:r>
            <w:r>
              <w:rPr>
                <w:rFonts w:hint="default" w:ascii="Times New Roman" w:hAnsi="Times New Roman" w:eastAsia="仿宋_GB2312" w:cs="Times New Roman"/>
                <w:i w:val="0"/>
                <w:iCs w:val="0"/>
                <w:color w:val="000000"/>
                <w:kern w:val="0"/>
                <w:sz w:val="28"/>
                <w:szCs w:val="28"/>
                <w:highlight w:val="none"/>
                <w:u w:val="none"/>
                <w:lang w:val="en-US" w:eastAsia="zh-CN" w:bidi="ar"/>
              </w:rPr>
              <w:t>17号</w:t>
            </w:r>
          </w:p>
        </w:tc>
        <w:tc>
          <w:tcPr>
            <w:tcW w:w="8005" w:type="dxa"/>
            <w:vAlign w:val="center"/>
          </w:tcPr>
          <w:p w14:paraId="359DE77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省人民政府关于促进旅游业改革发展的实施意见</w:t>
            </w:r>
          </w:p>
        </w:tc>
        <w:tc>
          <w:tcPr>
            <w:tcW w:w="1936" w:type="dxa"/>
            <w:vAlign w:val="center"/>
          </w:tcPr>
          <w:p w14:paraId="2EA81D07">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继续有效</w:t>
            </w:r>
          </w:p>
        </w:tc>
      </w:tr>
      <w:tr w14:paraId="3C7DE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vAlign w:val="center"/>
          </w:tcPr>
          <w:p w14:paraId="0BA31B5A">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10</w:t>
            </w:r>
          </w:p>
        </w:tc>
        <w:tc>
          <w:tcPr>
            <w:tcW w:w="3518" w:type="dxa"/>
            <w:vAlign w:val="center"/>
          </w:tcPr>
          <w:p w14:paraId="47729F4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strike w:val="0"/>
                <w:dstrike w:val="0"/>
                <w:color w:val="000000"/>
                <w:kern w:val="2"/>
                <w:sz w:val="28"/>
                <w:szCs w:val="28"/>
                <w:highlight w:val="none"/>
                <w:u w:val="none"/>
                <w:lang w:val="en-US" w:eastAsia="zh-CN" w:bidi="ar-SA"/>
              </w:rPr>
            </w:pPr>
            <w:r>
              <w:rPr>
                <w:rFonts w:hint="default" w:ascii="Times New Roman" w:hAnsi="Times New Roman" w:eastAsia="仿宋_GB2312" w:cs="Times New Roman"/>
                <w:i w:val="0"/>
                <w:iCs w:val="0"/>
                <w:strike w:val="0"/>
                <w:dstrike w:val="0"/>
                <w:color w:val="000000"/>
                <w:kern w:val="0"/>
                <w:sz w:val="28"/>
                <w:szCs w:val="28"/>
                <w:highlight w:val="none"/>
                <w:u w:val="none"/>
                <w:lang w:val="en-US" w:eastAsia="zh-CN" w:bidi="ar"/>
              </w:rPr>
              <w:t>鄂宣文〔2016〕64号</w:t>
            </w:r>
          </w:p>
        </w:tc>
        <w:tc>
          <w:tcPr>
            <w:tcW w:w="8005" w:type="dxa"/>
            <w:vAlign w:val="center"/>
          </w:tcPr>
          <w:p w14:paraId="7E41BE1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strike w:val="0"/>
                <w:dstrike w:val="0"/>
                <w:color w:val="000000"/>
                <w:kern w:val="2"/>
                <w:sz w:val="28"/>
                <w:szCs w:val="28"/>
                <w:highlight w:val="none"/>
                <w:u w:val="none"/>
                <w:lang w:val="en-US" w:eastAsia="zh-CN" w:bidi="ar-SA"/>
              </w:rPr>
            </w:pPr>
            <w:r>
              <w:rPr>
                <w:rFonts w:hint="default" w:ascii="Times New Roman" w:hAnsi="Times New Roman" w:eastAsia="仿宋_GB2312" w:cs="Times New Roman"/>
                <w:i w:val="0"/>
                <w:iCs w:val="0"/>
                <w:strike w:val="0"/>
                <w:dstrike w:val="0"/>
                <w:color w:val="000000"/>
                <w:kern w:val="0"/>
                <w:sz w:val="28"/>
                <w:szCs w:val="28"/>
                <w:highlight w:val="none"/>
                <w:u w:val="none"/>
                <w:lang w:val="en-US" w:eastAsia="zh-CN" w:bidi="ar"/>
              </w:rPr>
              <w:t>关于开展戏曲进校园活动的指导意见</w:t>
            </w:r>
          </w:p>
        </w:tc>
        <w:tc>
          <w:tcPr>
            <w:tcW w:w="1936" w:type="dxa"/>
            <w:vAlign w:val="center"/>
          </w:tcPr>
          <w:p w14:paraId="70485F3C">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继续有效</w:t>
            </w:r>
          </w:p>
        </w:tc>
      </w:tr>
      <w:tr w14:paraId="596A4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9" w:type="dxa"/>
            <w:vAlign w:val="center"/>
          </w:tcPr>
          <w:p w14:paraId="12D2EC92">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11</w:t>
            </w:r>
          </w:p>
        </w:tc>
        <w:tc>
          <w:tcPr>
            <w:tcW w:w="3518" w:type="dxa"/>
            <w:vAlign w:val="center"/>
          </w:tcPr>
          <w:p w14:paraId="438D391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鄂政办发</w:t>
            </w:r>
            <w:r>
              <w:rPr>
                <w:rFonts w:hint="eastAsia" w:ascii="Times New Roman" w:hAnsi="Times New Roman" w:eastAsia="仿宋_GB2312" w:cs="Times New Roman"/>
                <w:i w:val="0"/>
                <w:iCs w:val="0"/>
                <w:color w:val="000000"/>
                <w:kern w:val="0"/>
                <w:sz w:val="28"/>
                <w:szCs w:val="28"/>
                <w:highlight w:val="none"/>
                <w:u w:val="none"/>
                <w:lang w:val="en-US" w:eastAsia="zh-CN" w:bidi="ar"/>
              </w:rPr>
              <w:t>〔</w:t>
            </w:r>
            <w:r>
              <w:rPr>
                <w:rFonts w:hint="default" w:ascii="Times New Roman" w:hAnsi="Times New Roman" w:eastAsia="仿宋_GB2312" w:cs="Times New Roman"/>
                <w:i w:val="0"/>
                <w:iCs w:val="0"/>
                <w:color w:val="000000"/>
                <w:kern w:val="0"/>
                <w:sz w:val="28"/>
                <w:szCs w:val="28"/>
                <w:highlight w:val="none"/>
                <w:u w:val="none"/>
                <w:lang w:val="en-US" w:eastAsia="zh-CN" w:bidi="ar"/>
              </w:rPr>
              <w:t>2016</w:t>
            </w:r>
            <w:r>
              <w:rPr>
                <w:rFonts w:hint="eastAsia" w:ascii="Times New Roman" w:hAnsi="Times New Roman" w:eastAsia="仿宋_GB2312" w:cs="Times New Roman"/>
                <w:i w:val="0"/>
                <w:iCs w:val="0"/>
                <w:color w:val="000000"/>
                <w:kern w:val="0"/>
                <w:sz w:val="28"/>
                <w:szCs w:val="28"/>
                <w:highlight w:val="none"/>
                <w:u w:val="none"/>
                <w:lang w:val="en-US" w:eastAsia="zh-CN" w:bidi="ar"/>
              </w:rPr>
              <w:t>〕</w:t>
            </w:r>
            <w:r>
              <w:rPr>
                <w:rFonts w:hint="default" w:ascii="Times New Roman" w:hAnsi="Times New Roman" w:eastAsia="仿宋_GB2312" w:cs="Times New Roman"/>
                <w:i w:val="0"/>
                <w:iCs w:val="0"/>
                <w:color w:val="000000"/>
                <w:kern w:val="0"/>
                <w:sz w:val="28"/>
                <w:szCs w:val="28"/>
                <w:highlight w:val="none"/>
                <w:u w:val="none"/>
                <w:lang w:val="en-US" w:eastAsia="zh-CN" w:bidi="ar"/>
              </w:rPr>
              <w:t>29号</w:t>
            </w:r>
          </w:p>
        </w:tc>
        <w:tc>
          <w:tcPr>
            <w:tcW w:w="8005" w:type="dxa"/>
            <w:vAlign w:val="center"/>
          </w:tcPr>
          <w:p w14:paraId="74C1F9C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省人民政府办公厅关于支持湖北戏曲传承发展的实施意见</w:t>
            </w:r>
          </w:p>
        </w:tc>
        <w:tc>
          <w:tcPr>
            <w:tcW w:w="1936" w:type="dxa"/>
            <w:vAlign w:val="center"/>
          </w:tcPr>
          <w:p w14:paraId="2D52AB29">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继续有效</w:t>
            </w:r>
          </w:p>
        </w:tc>
      </w:tr>
      <w:tr w14:paraId="096FC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vAlign w:val="center"/>
          </w:tcPr>
          <w:p w14:paraId="50651CA5">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12</w:t>
            </w:r>
          </w:p>
        </w:tc>
        <w:tc>
          <w:tcPr>
            <w:tcW w:w="3518" w:type="dxa"/>
            <w:vAlign w:val="center"/>
          </w:tcPr>
          <w:p w14:paraId="35DD21B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鄂政办发</w:t>
            </w:r>
            <w:r>
              <w:rPr>
                <w:rFonts w:hint="eastAsia" w:ascii="Times New Roman" w:hAnsi="Times New Roman" w:eastAsia="仿宋_GB2312" w:cs="Times New Roman"/>
                <w:i w:val="0"/>
                <w:iCs w:val="0"/>
                <w:color w:val="000000"/>
                <w:kern w:val="0"/>
                <w:sz w:val="28"/>
                <w:szCs w:val="28"/>
                <w:highlight w:val="none"/>
                <w:u w:val="none"/>
                <w:lang w:val="en-US" w:eastAsia="zh-CN" w:bidi="ar"/>
              </w:rPr>
              <w:t>〔</w:t>
            </w:r>
            <w:r>
              <w:rPr>
                <w:rFonts w:hint="default" w:ascii="Times New Roman" w:hAnsi="Times New Roman" w:eastAsia="仿宋_GB2312" w:cs="Times New Roman"/>
                <w:i w:val="0"/>
                <w:iCs w:val="0"/>
                <w:color w:val="000000"/>
                <w:kern w:val="0"/>
                <w:sz w:val="28"/>
                <w:szCs w:val="28"/>
                <w:highlight w:val="none"/>
                <w:u w:val="none"/>
                <w:lang w:val="en-US" w:eastAsia="zh-CN" w:bidi="ar"/>
              </w:rPr>
              <w:t>2016</w:t>
            </w:r>
            <w:r>
              <w:rPr>
                <w:rFonts w:hint="eastAsia" w:ascii="Times New Roman" w:hAnsi="Times New Roman" w:eastAsia="仿宋_GB2312" w:cs="Times New Roman"/>
                <w:i w:val="0"/>
                <w:iCs w:val="0"/>
                <w:color w:val="000000"/>
                <w:kern w:val="0"/>
                <w:sz w:val="28"/>
                <w:szCs w:val="28"/>
                <w:highlight w:val="none"/>
                <w:u w:val="none"/>
                <w:lang w:val="en-US" w:eastAsia="zh-CN" w:bidi="ar"/>
              </w:rPr>
              <w:t>〕</w:t>
            </w:r>
            <w:r>
              <w:rPr>
                <w:rFonts w:hint="default" w:ascii="Times New Roman" w:hAnsi="Times New Roman" w:eastAsia="仿宋_GB2312" w:cs="Times New Roman"/>
                <w:i w:val="0"/>
                <w:iCs w:val="0"/>
                <w:color w:val="000000"/>
                <w:kern w:val="0"/>
                <w:sz w:val="28"/>
                <w:szCs w:val="28"/>
                <w:highlight w:val="none"/>
                <w:u w:val="none"/>
                <w:lang w:val="en-US" w:eastAsia="zh-CN" w:bidi="ar"/>
              </w:rPr>
              <w:t>38号</w:t>
            </w:r>
          </w:p>
        </w:tc>
        <w:tc>
          <w:tcPr>
            <w:tcW w:w="8005" w:type="dxa"/>
            <w:vAlign w:val="center"/>
          </w:tcPr>
          <w:p w14:paraId="07577A2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省人民政府办公厅关于进一步促进旅游投资和消费的实施意见</w:t>
            </w:r>
          </w:p>
        </w:tc>
        <w:tc>
          <w:tcPr>
            <w:tcW w:w="1936" w:type="dxa"/>
            <w:vAlign w:val="center"/>
          </w:tcPr>
          <w:p w14:paraId="5E7C8759">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继续有效</w:t>
            </w:r>
          </w:p>
        </w:tc>
      </w:tr>
      <w:tr w14:paraId="50D99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vAlign w:val="center"/>
          </w:tcPr>
          <w:p w14:paraId="26B9162D">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13</w:t>
            </w:r>
          </w:p>
        </w:tc>
        <w:tc>
          <w:tcPr>
            <w:tcW w:w="3518" w:type="dxa"/>
            <w:vAlign w:val="center"/>
          </w:tcPr>
          <w:p w14:paraId="7ED4FBE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鄂政发</w:t>
            </w:r>
            <w:r>
              <w:rPr>
                <w:rFonts w:hint="eastAsia" w:ascii="Times New Roman" w:hAnsi="Times New Roman" w:eastAsia="仿宋_GB2312" w:cs="Times New Roman"/>
                <w:i w:val="0"/>
                <w:iCs w:val="0"/>
                <w:color w:val="000000"/>
                <w:kern w:val="0"/>
                <w:sz w:val="28"/>
                <w:szCs w:val="28"/>
                <w:highlight w:val="none"/>
                <w:u w:val="none"/>
                <w:lang w:val="en-US" w:eastAsia="zh-CN" w:bidi="ar"/>
              </w:rPr>
              <w:t>〔</w:t>
            </w:r>
            <w:r>
              <w:rPr>
                <w:rFonts w:hint="default" w:ascii="Times New Roman" w:hAnsi="Times New Roman" w:eastAsia="仿宋_GB2312" w:cs="Times New Roman"/>
                <w:i w:val="0"/>
                <w:iCs w:val="0"/>
                <w:color w:val="000000"/>
                <w:kern w:val="0"/>
                <w:sz w:val="28"/>
                <w:szCs w:val="28"/>
                <w:highlight w:val="none"/>
                <w:u w:val="none"/>
                <w:lang w:val="en-US" w:eastAsia="zh-CN" w:bidi="ar"/>
              </w:rPr>
              <w:t>2016</w:t>
            </w:r>
            <w:r>
              <w:rPr>
                <w:rFonts w:hint="eastAsia" w:ascii="Times New Roman" w:hAnsi="Times New Roman" w:eastAsia="仿宋_GB2312" w:cs="Times New Roman"/>
                <w:i w:val="0"/>
                <w:iCs w:val="0"/>
                <w:color w:val="000000"/>
                <w:kern w:val="0"/>
                <w:sz w:val="28"/>
                <w:szCs w:val="28"/>
                <w:highlight w:val="none"/>
                <w:u w:val="none"/>
                <w:lang w:val="en-US" w:eastAsia="zh-CN" w:bidi="ar"/>
              </w:rPr>
              <w:t>〕</w:t>
            </w:r>
            <w:r>
              <w:rPr>
                <w:rFonts w:hint="default" w:ascii="Times New Roman" w:hAnsi="Times New Roman" w:eastAsia="仿宋_GB2312" w:cs="Times New Roman"/>
                <w:i w:val="0"/>
                <w:iCs w:val="0"/>
                <w:color w:val="000000"/>
                <w:kern w:val="0"/>
                <w:sz w:val="28"/>
                <w:szCs w:val="28"/>
                <w:highlight w:val="none"/>
                <w:u w:val="none"/>
                <w:lang w:val="en-US" w:eastAsia="zh-CN" w:bidi="ar"/>
              </w:rPr>
              <w:t>29号</w:t>
            </w:r>
          </w:p>
        </w:tc>
        <w:tc>
          <w:tcPr>
            <w:tcW w:w="8005" w:type="dxa"/>
            <w:vAlign w:val="center"/>
          </w:tcPr>
          <w:p w14:paraId="45E372B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省人民政府关于进一步加强文物工作的实施意见</w:t>
            </w:r>
          </w:p>
        </w:tc>
        <w:tc>
          <w:tcPr>
            <w:tcW w:w="1936" w:type="dxa"/>
            <w:vAlign w:val="center"/>
          </w:tcPr>
          <w:p w14:paraId="176C8AA7">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继续有效</w:t>
            </w:r>
          </w:p>
        </w:tc>
      </w:tr>
      <w:tr w14:paraId="23870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vAlign w:val="center"/>
          </w:tcPr>
          <w:p w14:paraId="075AFA37">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14</w:t>
            </w:r>
          </w:p>
        </w:tc>
        <w:tc>
          <w:tcPr>
            <w:tcW w:w="3518" w:type="dxa"/>
            <w:vAlign w:val="center"/>
          </w:tcPr>
          <w:p w14:paraId="1EA4D17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鄂政发</w:t>
            </w:r>
            <w:r>
              <w:rPr>
                <w:rFonts w:hint="eastAsia" w:ascii="Times New Roman" w:hAnsi="Times New Roman" w:eastAsia="仿宋_GB2312" w:cs="Times New Roman"/>
                <w:i w:val="0"/>
                <w:iCs w:val="0"/>
                <w:color w:val="000000"/>
                <w:kern w:val="0"/>
                <w:sz w:val="28"/>
                <w:szCs w:val="28"/>
                <w:highlight w:val="none"/>
                <w:u w:val="none"/>
                <w:lang w:val="en-US" w:eastAsia="zh-CN" w:bidi="ar"/>
              </w:rPr>
              <w:t>〔</w:t>
            </w:r>
            <w:r>
              <w:rPr>
                <w:rFonts w:hint="default" w:ascii="Times New Roman" w:hAnsi="Times New Roman" w:eastAsia="仿宋_GB2312" w:cs="Times New Roman"/>
                <w:i w:val="0"/>
                <w:iCs w:val="0"/>
                <w:color w:val="000000"/>
                <w:kern w:val="0"/>
                <w:sz w:val="28"/>
                <w:szCs w:val="28"/>
                <w:highlight w:val="none"/>
                <w:u w:val="none"/>
                <w:lang w:val="en-US" w:eastAsia="zh-CN" w:bidi="ar"/>
              </w:rPr>
              <w:t>2018</w:t>
            </w:r>
            <w:r>
              <w:rPr>
                <w:rFonts w:hint="eastAsia" w:ascii="Times New Roman" w:hAnsi="Times New Roman" w:eastAsia="仿宋_GB2312" w:cs="Times New Roman"/>
                <w:i w:val="0"/>
                <w:iCs w:val="0"/>
                <w:color w:val="000000"/>
                <w:kern w:val="0"/>
                <w:sz w:val="28"/>
                <w:szCs w:val="28"/>
                <w:highlight w:val="none"/>
                <w:u w:val="none"/>
                <w:lang w:val="en-US" w:eastAsia="zh-CN" w:bidi="ar"/>
              </w:rPr>
              <w:t>〕</w:t>
            </w:r>
            <w:r>
              <w:rPr>
                <w:rFonts w:hint="default" w:ascii="Times New Roman" w:hAnsi="Times New Roman" w:eastAsia="仿宋_GB2312" w:cs="Times New Roman"/>
                <w:i w:val="0"/>
                <w:iCs w:val="0"/>
                <w:color w:val="000000"/>
                <w:kern w:val="0"/>
                <w:sz w:val="28"/>
                <w:szCs w:val="28"/>
                <w:highlight w:val="none"/>
                <w:u w:val="none"/>
                <w:lang w:val="en-US" w:eastAsia="zh-CN" w:bidi="ar"/>
              </w:rPr>
              <w:t>35号</w:t>
            </w:r>
          </w:p>
        </w:tc>
        <w:tc>
          <w:tcPr>
            <w:tcW w:w="8005" w:type="dxa"/>
            <w:vAlign w:val="center"/>
          </w:tcPr>
          <w:p w14:paraId="3B64FED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省人民政府关于促进全域旅游发展的实施意见</w:t>
            </w:r>
          </w:p>
        </w:tc>
        <w:tc>
          <w:tcPr>
            <w:tcW w:w="1936" w:type="dxa"/>
            <w:vAlign w:val="center"/>
          </w:tcPr>
          <w:p w14:paraId="79AAEC70">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继续有效</w:t>
            </w:r>
          </w:p>
        </w:tc>
      </w:tr>
      <w:tr w14:paraId="0FC42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vAlign w:val="center"/>
          </w:tcPr>
          <w:p w14:paraId="3F4B0322">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15</w:t>
            </w:r>
          </w:p>
        </w:tc>
        <w:tc>
          <w:tcPr>
            <w:tcW w:w="3518" w:type="dxa"/>
            <w:vAlign w:val="center"/>
          </w:tcPr>
          <w:p w14:paraId="4436E62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鄂政办发</w:t>
            </w:r>
            <w:r>
              <w:rPr>
                <w:rFonts w:hint="eastAsia" w:ascii="Times New Roman" w:hAnsi="Times New Roman" w:eastAsia="仿宋_GB2312" w:cs="Times New Roman"/>
                <w:i w:val="0"/>
                <w:iCs w:val="0"/>
                <w:color w:val="000000"/>
                <w:kern w:val="0"/>
                <w:sz w:val="28"/>
                <w:szCs w:val="28"/>
                <w:highlight w:val="none"/>
                <w:u w:val="none"/>
                <w:lang w:val="en-US" w:eastAsia="zh-CN" w:bidi="ar"/>
              </w:rPr>
              <w:t>〔</w:t>
            </w:r>
            <w:r>
              <w:rPr>
                <w:rFonts w:hint="default" w:ascii="Times New Roman" w:hAnsi="Times New Roman" w:eastAsia="仿宋_GB2312" w:cs="Times New Roman"/>
                <w:i w:val="0"/>
                <w:iCs w:val="0"/>
                <w:color w:val="000000"/>
                <w:kern w:val="0"/>
                <w:sz w:val="28"/>
                <w:szCs w:val="28"/>
                <w:highlight w:val="none"/>
                <w:u w:val="none"/>
                <w:lang w:val="en-US" w:eastAsia="zh-CN" w:bidi="ar"/>
              </w:rPr>
              <w:t>2019</w:t>
            </w:r>
            <w:r>
              <w:rPr>
                <w:rFonts w:hint="eastAsia" w:ascii="Times New Roman" w:hAnsi="Times New Roman" w:eastAsia="仿宋_GB2312" w:cs="Times New Roman"/>
                <w:i w:val="0"/>
                <w:iCs w:val="0"/>
                <w:color w:val="000000"/>
                <w:kern w:val="0"/>
                <w:sz w:val="28"/>
                <w:szCs w:val="28"/>
                <w:highlight w:val="none"/>
                <w:u w:val="none"/>
                <w:lang w:val="en-US" w:eastAsia="zh-CN" w:bidi="ar"/>
              </w:rPr>
              <w:t>〕</w:t>
            </w:r>
            <w:r>
              <w:rPr>
                <w:rFonts w:hint="default" w:ascii="Times New Roman" w:hAnsi="Times New Roman" w:eastAsia="仿宋_GB2312" w:cs="Times New Roman"/>
                <w:i w:val="0"/>
                <w:iCs w:val="0"/>
                <w:color w:val="000000"/>
                <w:kern w:val="0"/>
                <w:sz w:val="28"/>
                <w:szCs w:val="28"/>
                <w:highlight w:val="none"/>
                <w:u w:val="none"/>
                <w:lang w:val="en-US" w:eastAsia="zh-CN" w:bidi="ar"/>
              </w:rPr>
              <w:t>14号</w:t>
            </w:r>
          </w:p>
        </w:tc>
        <w:tc>
          <w:tcPr>
            <w:tcW w:w="8005" w:type="dxa"/>
            <w:vAlign w:val="center"/>
          </w:tcPr>
          <w:p w14:paraId="09D9B34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省人民政府办公厅关于印发荆楚大遗址传承发展工程实施方案（2019-2023年）的通知</w:t>
            </w:r>
          </w:p>
        </w:tc>
        <w:tc>
          <w:tcPr>
            <w:tcW w:w="1936" w:type="dxa"/>
            <w:vAlign w:val="center"/>
          </w:tcPr>
          <w:p w14:paraId="101B79E7">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宣布失效</w:t>
            </w:r>
          </w:p>
        </w:tc>
      </w:tr>
      <w:tr w14:paraId="5C8C0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vAlign w:val="center"/>
          </w:tcPr>
          <w:p w14:paraId="5D2CD805">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16</w:t>
            </w:r>
          </w:p>
        </w:tc>
        <w:tc>
          <w:tcPr>
            <w:tcW w:w="3518" w:type="dxa"/>
            <w:vAlign w:val="center"/>
          </w:tcPr>
          <w:p w14:paraId="72E9111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鄂文旅发〔2020〕11号</w:t>
            </w:r>
          </w:p>
        </w:tc>
        <w:tc>
          <w:tcPr>
            <w:tcW w:w="8005" w:type="dxa"/>
            <w:vAlign w:val="center"/>
          </w:tcPr>
          <w:p w14:paraId="52136AC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湖北省省级非物质文化遗产代表性传承人认定与管理办法</w:t>
            </w:r>
          </w:p>
        </w:tc>
        <w:tc>
          <w:tcPr>
            <w:tcW w:w="1936" w:type="dxa"/>
            <w:vAlign w:val="center"/>
          </w:tcPr>
          <w:p w14:paraId="308348C5">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继续有效</w:t>
            </w:r>
          </w:p>
        </w:tc>
      </w:tr>
      <w:tr w14:paraId="3F0DB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vAlign w:val="center"/>
          </w:tcPr>
          <w:p w14:paraId="2F7363FA">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17</w:t>
            </w:r>
          </w:p>
        </w:tc>
        <w:tc>
          <w:tcPr>
            <w:tcW w:w="3518" w:type="dxa"/>
            <w:vAlign w:val="center"/>
          </w:tcPr>
          <w:p w14:paraId="2B88AB2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鄂文旅发〔2019〕1号</w:t>
            </w:r>
          </w:p>
        </w:tc>
        <w:tc>
          <w:tcPr>
            <w:tcW w:w="8005" w:type="dxa"/>
            <w:vAlign w:val="center"/>
          </w:tcPr>
          <w:p w14:paraId="05E9D97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关于印发《湖北省非物质文化遗产传承发展工程实施方案》的通知</w:t>
            </w:r>
          </w:p>
        </w:tc>
        <w:tc>
          <w:tcPr>
            <w:tcW w:w="1936" w:type="dxa"/>
            <w:vAlign w:val="center"/>
          </w:tcPr>
          <w:p w14:paraId="2D535CD1">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继续有效</w:t>
            </w:r>
          </w:p>
        </w:tc>
      </w:tr>
      <w:tr w14:paraId="55308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vAlign w:val="center"/>
          </w:tcPr>
          <w:p w14:paraId="69D1388A">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18</w:t>
            </w:r>
          </w:p>
        </w:tc>
        <w:tc>
          <w:tcPr>
            <w:tcW w:w="3518" w:type="dxa"/>
            <w:vAlign w:val="center"/>
          </w:tcPr>
          <w:p w14:paraId="4127AF7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鄂文旅发〔2019〕16号</w:t>
            </w:r>
          </w:p>
        </w:tc>
        <w:tc>
          <w:tcPr>
            <w:tcW w:w="8005" w:type="dxa"/>
            <w:vAlign w:val="center"/>
          </w:tcPr>
          <w:p w14:paraId="1057025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关于规范社会艺术水平考级管理工作的通知</w:t>
            </w:r>
          </w:p>
        </w:tc>
        <w:tc>
          <w:tcPr>
            <w:tcW w:w="1936" w:type="dxa"/>
            <w:vAlign w:val="center"/>
          </w:tcPr>
          <w:p w14:paraId="5434DB6E">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继续有效</w:t>
            </w:r>
          </w:p>
        </w:tc>
      </w:tr>
      <w:tr w14:paraId="09D84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vAlign w:val="center"/>
          </w:tcPr>
          <w:p w14:paraId="7CC5D540">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19</w:t>
            </w:r>
          </w:p>
        </w:tc>
        <w:tc>
          <w:tcPr>
            <w:tcW w:w="3518" w:type="dxa"/>
            <w:vAlign w:val="center"/>
          </w:tcPr>
          <w:p w14:paraId="1E01135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鄂政办发</w:t>
            </w:r>
            <w:r>
              <w:rPr>
                <w:rFonts w:hint="eastAsia" w:ascii="Times New Roman" w:hAnsi="Times New Roman" w:eastAsia="仿宋_GB2312" w:cs="Times New Roman"/>
                <w:i w:val="0"/>
                <w:iCs w:val="0"/>
                <w:color w:val="000000"/>
                <w:kern w:val="0"/>
                <w:sz w:val="28"/>
                <w:szCs w:val="28"/>
                <w:highlight w:val="none"/>
                <w:u w:val="none"/>
                <w:lang w:val="en-US" w:eastAsia="zh-CN" w:bidi="ar"/>
              </w:rPr>
              <w:t>〔</w:t>
            </w:r>
            <w:r>
              <w:rPr>
                <w:rFonts w:hint="default" w:ascii="Times New Roman" w:hAnsi="Times New Roman" w:eastAsia="仿宋_GB2312" w:cs="Times New Roman"/>
                <w:i w:val="0"/>
                <w:iCs w:val="0"/>
                <w:color w:val="000000"/>
                <w:kern w:val="0"/>
                <w:sz w:val="28"/>
                <w:szCs w:val="28"/>
                <w:highlight w:val="none"/>
                <w:u w:val="none"/>
                <w:lang w:val="en-US" w:eastAsia="zh-CN" w:bidi="ar"/>
              </w:rPr>
              <w:t>2020</w:t>
            </w:r>
            <w:r>
              <w:rPr>
                <w:rFonts w:hint="eastAsia" w:ascii="Times New Roman" w:hAnsi="Times New Roman" w:eastAsia="仿宋_GB2312" w:cs="Times New Roman"/>
                <w:i w:val="0"/>
                <w:iCs w:val="0"/>
                <w:color w:val="000000"/>
                <w:kern w:val="0"/>
                <w:sz w:val="28"/>
                <w:szCs w:val="28"/>
                <w:highlight w:val="none"/>
                <w:u w:val="none"/>
                <w:lang w:val="en-US" w:eastAsia="zh-CN" w:bidi="ar"/>
              </w:rPr>
              <w:t>〕</w:t>
            </w:r>
            <w:r>
              <w:rPr>
                <w:rFonts w:hint="default" w:ascii="Times New Roman" w:hAnsi="Times New Roman" w:eastAsia="仿宋_GB2312" w:cs="Times New Roman"/>
                <w:i w:val="0"/>
                <w:iCs w:val="0"/>
                <w:color w:val="000000"/>
                <w:kern w:val="0"/>
                <w:sz w:val="28"/>
                <w:szCs w:val="28"/>
                <w:highlight w:val="none"/>
                <w:u w:val="none"/>
                <w:lang w:val="en-US" w:eastAsia="zh-CN" w:bidi="ar"/>
              </w:rPr>
              <w:t>17号</w:t>
            </w:r>
          </w:p>
        </w:tc>
        <w:tc>
          <w:tcPr>
            <w:tcW w:w="8005" w:type="dxa"/>
            <w:vAlign w:val="center"/>
          </w:tcPr>
          <w:p w14:paraId="49C6C70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省人民政府办公厅关于印发支持文化旅游产业恢复振兴若干措施的通知</w:t>
            </w:r>
          </w:p>
        </w:tc>
        <w:tc>
          <w:tcPr>
            <w:tcW w:w="1936" w:type="dxa"/>
            <w:vAlign w:val="center"/>
          </w:tcPr>
          <w:p w14:paraId="33252519">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继续有效</w:t>
            </w:r>
          </w:p>
        </w:tc>
      </w:tr>
      <w:tr w14:paraId="13ADA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859" w:type="dxa"/>
            <w:vAlign w:val="center"/>
          </w:tcPr>
          <w:p w14:paraId="51BFC5E4">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20</w:t>
            </w:r>
          </w:p>
        </w:tc>
        <w:tc>
          <w:tcPr>
            <w:tcW w:w="3518" w:type="dxa"/>
            <w:vAlign w:val="center"/>
          </w:tcPr>
          <w:p w14:paraId="6EBB194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鄂文旅发〔2020〕34号</w:t>
            </w:r>
          </w:p>
        </w:tc>
        <w:tc>
          <w:tcPr>
            <w:tcW w:w="8005" w:type="dxa"/>
            <w:vAlign w:val="center"/>
          </w:tcPr>
          <w:p w14:paraId="54F6378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关于印发《湖北省省级文化生态保护区管理办法》的通知</w:t>
            </w:r>
          </w:p>
        </w:tc>
        <w:tc>
          <w:tcPr>
            <w:tcW w:w="1936" w:type="dxa"/>
            <w:vAlign w:val="center"/>
          </w:tcPr>
          <w:p w14:paraId="5971208A">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继续有效</w:t>
            </w:r>
          </w:p>
        </w:tc>
      </w:tr>
      <w:tr w14:paraId="104F6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vAlign w:val="center"/>
          </w:tcPr>
          <w:p w14:paraId="2DBC32F0">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21</w:t>
            </w:r>
          </w:p>
        </w:tc>
        <w:tc>
          <w:tcPr>
            <w:tcW w:w="3518" w:type="dxa"/>
            <w:vAlign w:val="center"/>
          </w:tcPr>
          <w:p w14:paraId="4960BB3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鄂政办发</w:t>
            </w:r>
            <w:r>
              <w:rPr>
                <w:rFonts w:hint="eastAsia" w:ascii="Times New Roman" w:hAnsi="Times New Roman" w:eastAsia="仿宋_GB2312" w:cs="Times New Roman"/>
                <w:i w:val="0"/>
                <w:iCs w:val="0"/>
                <w:color w:val="000000"/>
                <w:kern w:val="0"/>
                <w:sz w:val="28"/>
                <w:szCs w:val="28"/>
                <w:highlight w:val="none"/>
                <w:u w:val="none"/>
                <w:lang w:val="en-US" w:eastAsia="zh-CN" w:bidi="ar"/>
              </w:rPr>
              <w:t>〔</w:t>
            </w:r>
            <w:r>
              <w:rPr>
                <w:rFonts w:hint="default" w:ascii="Times New Roman" w:hAnsi="Times New Roman" w:eastAsia="仿宋_GB2312" w:cs="Times New Roman"/>
                <w:i w:val="0"/>
                <w:iCs w:val="0"/>
                <w:color w:val="000000"/>
                <w:kern w:val="0"/>
                <w:sz w:val="28"/>
                <w:szCs w:val="28"/>
                <w:highlight w:val="none"/>
                <w:u w:val="none"/>
                <w:lang w:val="en-US" w:eastAsia="zh-CN" w:bidi="ar"/>
              </w:rPr>
              <w:t>2021</w:t>
            </w:r>
            <w:r>
              <w:rPr>
                <w:rFonts w:hint="eastAsia" w:ascii="Times New Roman" w:hAnsi="Times New Roman" w:eastAsia="仿宋_GB2312" w:cs="Times New Roman"/>
                <w:i w:val="0"/>
                <w:iCs w:val="0"/>
                <w:color w:val="000000"/>
                <w:kern w:val="0"/>
                <w:sz w:val="28"/>
                <w:szCs w:val="28"/>
                <w:highlight w:val="none"/>
                <w:u w:val="none"/>
                <w:lang w:val="en-US" w:eastAsia="zh-CN" w:bidi="ar"/>
              </w:rPr>
              <w:t>〕</w:t>
            </w:r>
            <w:r>
              <w:rPr>
                <w:rFonts w:hint="default" w:ascii="Times New Roman" w:hAnsi="Times New Roman" w:eastAsia="仿宋_GB2312" w:cs="Times New Roman"/>
                <w:i w:val="0"/>
                <w:iCs w:val="0"/>
                <w:color w:val="000000"/>
                <w:kern w:val="0"/>
                <w:sz w:val="28"/>
                <w:szCs w:val="28"/>
                <w:highlight w:val="none"/>
                <w:u w:val="none"/>
                <w:lang w:val="en-US" w:eastAsia="zh-CN" w:bidi="ar"/>
              </w:rPr>
              <w:t>42号</w:t>
            </w:r>
          </w:p>
        </w:tc>
        <w:tc>
          <w:tcPr>
            <w:tcW w:w="8005" w:type="dxa"/>
            <w:vAlign w:val="center"/>
          </w:tcPr>
          <w:p w14:paraId="0CC3484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省人民政府办公厅关于印发促进夜间文化和旅游消费若干措施的通知</w:t>
            </w:r>
          </w:p>
        </w:tc>
        <w:tc>
          <w:tcPr>
            <w:tcW w:w="1936" w:type="dxa"/>
            <w:vAlign w:val="center"/>
          </w:tcPr>
          <w:p w14:paraId="5F9A1D79">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继续有效</w:t>
            </w:r>
          </w:p>
        </w:tc>
      </w:tr>
      <w:tr w14:paraId="787ED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vAlign w:val="center"/>
          </w:tcPr>
          <w:p w14:paraId="7920CF55">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22</w:t>
            </w:r>
          </w:p>
        </w:tc>
        <w:tc>
          <w:tcPr>
            <w:tcW w:w="3518" w:type="dxa"/>
            <w:vAlign w:val="center"/>
          </w:tcPr>
          <w:p w14:paraId="16B55D1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鄂文旅发〔2021〕35号</w:t>
            </w:r>
          </w:p>
        </w:tc>
        <w:tc>
          <w:tcPr>
            <w:tcW w:w="8005" w:type="dxa"/>
            <w:vAlign w:val="center"/>
          </w:tcPr>
          <w:p w14:paraId="36C642D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关于印发《进一步加强湖北省文化和旅游企业金融服务的十项举措》的通知</w:t>
            </w:r>
          </w:p>
        </w:tc>
        <w:tc>
          <w:tcPr>
            <w:tcW w:w="1936" w:type="dxa"/>
            <w:vAlign w:val="center"/>
          </w:tcPr>
          <w:p w14:paraId="06594C32">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继续有效</w:t>
            </w:r>
          </w:p>
        </w:tc>
      </w:tr>
      <w:tr w14:paraId="3B05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vAlign w:val="center"/>
          </w:tcPr>
          <w:p w14:paraId="1B0EC128">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23</w:t>
            </w:r>
          </w:p>
        </w:tc>
        <w:tc>
          <w:tcPr>
            <w:tcW w:w="3518" w:type="dxa"/>
            <w:vAlign w:val="center"/>
          </w:tcPr>
          <w:p w14:paraId="46F7192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鄂政办发</w:t>
            </w:r>
            <w:r>
              <w:rPr>
                <w:rFonts w:hint="eastAsia" w:ascii="Times New Roman" w:hAnsi="Times New Roman" w:eastAsia="仿宋_GB2312" w:cs="Times New Roman"/>
                <w:i w:val="0"/>
                <w:iCs w:val="0"/>
                <w:color w:val="000000"/>
                <w:kern w:val="0"/>
                <w:sz w:val="28"/>
                <w:szCs w:val="28"/>
                <w:highlight w:val="none"/>
                <w:u w:val="none"/>
                <w:lang w:val="en-US" w:eastAsia="zh-CN" w:bidi="ar"/>
              </w:rPr>
              <w:t>〔</w:t>
            </w:r>
            <w:r>
              <w:rPr>
                <w:rFonts w:hint="default" w:ascii="Times New Roman" w:hAnsi="Times New Roman" w:eastAsia="仿宋_GB2312" w:cs="Times New Roman"/>
                <w:i w:val="0"/>
                <w:iCs w:val="0"/>
                <w:color w:val="000000"/>
                <w:kern w:val="0"/>
                <w:sz w:val="28"/>
                <w:szCs w:val="28"/>
                <w:highlight w:val="none"/>
                <w:u w:val="none"/>
                <w:lang w:val="en-US" w:eastAsia="zh-CN" w:bidi="ar"/>
              </w:rPr>
              <w:t>2021</w:t>
            </w:r>
            <w:r>
              <w:rPr>
                <w:rFonts w:hint="eastAsia" w:ascii="Times New Roman" w:hAnsi="Times New Roman" w:eastAsia="仿宋_GB2312" w:cs="Times New Roman"/>
                <w:i w:val="0"/>
                <w:iCs w:val="0"/>
                <w:color w:val="000000"/>
                <w:kern w:val="0"/>
                <w:sz w:val="28"/>
                <w:szCs w:val="28"/>
                <w:highlight w:val="none"/>
                <w:u w:val="none"/>
                <w:lang w:val="en-US" w:eastAsia="zh-CN" w:bidi="ar"/>
              </w:rPr>
              <w:t>〕</w:t>
            </w:r>
            <w:r>
              <w:rPr>
                <w:rFonts w:hint="default" w:ascii="Times New Roman" w:hAnsi="Times New Roman" w:eastAsia="仿宋_GB2312" w:cs="Times New Roman"/>
                <w:i w:val="0"/>
                <w:iCs w:val="0"/>
                <w:color w:val="000000"/>
                <w:kern w:val="0"/>
                <w:sz w:val="28"/>
                <w:szCs w:val="28"/>
                <w:highlight w:val="none"/>
                <w:u w:val="none"/>
                <w:lang w:val="en-US" w:eastAsia="zh-CN" w:bidi="ar"/>
              </w:rPr>
              <w:t>70号</w:t>
            </w:r>
          </w:p>
        </w:tc>
        <w:tc>
          <w:tcPr>
            <w:tcW w:w="8005" w:type="dxa"/>
            <w:vAlign w:val="center"/>
          </w:tcPr>
          <w:p w14:paraId="5CB9FCA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省人民政府办公厅关于印发湖北省旅游业发展“十四五”规划的通知</w:t>
            </w:r>
          </w:p>
        </w:tc>
        <w:tc>
          <w:tcPr>
            <w:tcW w:w="1936" w:type="dxa"/>
            <w:vAlign w:val="center"/>
          </w:tcPr>
          <w:p w14:paraId="7AB523C0">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继续有效</w:t>
            </w:r>
          </w:p>
        </w:tc>
      </w:tr>
      <w:tr w14:paraId="713DB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vAlign w:val="center"/>
          </w:tcPr>
          <w:p w14:paraId="190D2174">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24</w:t>
            </w:r>
          </w:p>
        </w:tc>
        <w:tc>
          <w:tcPr>
            <w:tcW w:w="3518" w:type="dxa"/>
            <w:vAlign w:val="center"/>
          </w:tcPr>
          <w:p w14:paraId="4C64792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鄂文旅发〔2022〕33号</w:t>
            </w:r>
          </w:p>
        </w:tc>
        <w:tc>
          <w:tcPr>
            <w:tcW w:w="8005" w:type="dxa"/>
            <w:vAlign w:val="center"/>
          </w:tcPr>
          <w:p w14:paraId="20A197E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湖北省文化艺术类校外培训机构设置标准（试行）</w:t>
            </w:r>
            <w:r>
              <w:rPr>
                <w:rFonts w:hint="default" w:ascii="Times New Roman" w:hAnsi="Times New Roman" w:eastAsia="仿宋_GB2312" w:cs="Times New Roman"/>
                <w:i w:val="0"/>
                <w:iCs w:val="0"/>
                <w:color w:val="000000"/>
                <w:kern w:val="0"/>
                <w:sz w:val="28"/>
                <w:szCs w:val="28"/>
                <w:highlight w:val="none"/>
                <w:u w:val="none"/>
                <w:lang w:val="en-US" w:eastAsia="zh-CN" w:bidi="ar"/>
              </w:rPr>
              <w:br w:type="textWrapping"/>
            </w:r>
            <w:r>
              <w:rPr>
                <w:rFonts w:hint="default" w:ascii="Times New Roman" w:hAnsi="Times New Roman" w:eastAsia="仿宋_GB2312" w:cs="Times New Roman"/>
                <w:i w:val="0"/>
                <w:iCs w:val="0"/>
                <w:color w:val="000000"/>
                <w:kern w:val="0"/>
                <w:sz w:val="28"/>
                <w:szCs w:val="28"/>
                <w:highlight w:val="none"/>
                <w:u w:val="none"/>
                <w:lang w:val="en-US" w:eastAsia="zh-CN" w:bidi="ar"/>
              </w:rPr>
              <w:t>湖北省文化 艺术类校外培训机构审批流程（试行）</w:t>
            </w:r>
          </w:p>
        </w:tc>
        <w:tc>
          <w:tcPr>
            <w:tcW w:w="1936" w:type="dxa"/>
            <w:vAlign w:val="center"/>
          </w:tcPr>
          <w:p w14:paraId="731B82C8">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继续有效</w:t>
            </w:r>
          </w:p>
        </w:tc>
      </w:tr>
      <w:tr w14:paraId="73760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vAlign w:val="center"/>
          </w:tcPr>
          <w:p w14:paraId="0407CF6C">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25</w:t>
            </w:r>
          </w:p>
        </w:tc>
        <w:tc>
          <w:tcPr>
            <w:tcW w:w="3518" w:type="dxa"/>
            <w:vAlign w:val="center"/>
          </w:tcPr>
          <w:p w14:paraId="380DBA5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鄂文旅发〔2023〕7号</w:t>
            </w:r>
          </w:p>
        </w:tc>
        <w:tc>
          <w:tcPr>
            <w:tcW w:w="8005" w:type="dxa"/>
            <w:vAlign w:val="center"/>
          </w:tcPr>
          <w:p w14:paraId="7EF04C8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2023年旅行社“引客入鄂”奖励政策实施方案</w:t>
            </w:r>
          </w:p>
        </w:tc>
        <w:tc>
          <w:tcPr>
            <w:tcW w:w="1936" w:type="dxa"/>
            <w:vAlign w:val="center"/>
          </w:tcPr>
          <w:p w14:paraId="66076215">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宣布失效</w:t>
            </w:r>
          </w:p>
        </w:tc>
      </w:tr>
      <w:tr w14:paraId="3BF47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vAlign w:val="center"/>
          </w:tcPr>
          <w:p w14:paraId="55EE2595">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26</w:t>
            </w:r>
          </w:p>
        </w:tc>
        <w:tc>
          <w:tcPr>
            <w:tcW w:w="3518" w:type="dxa"/>
            <w:vAlign w:val="center"/>
          </w:tcPr>
          <w:p w14:paraId="74144AB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鄂文旅发〔2023〕18 号</w:t>
            </w:r>
          </w:p>
        </w:tc>
        <w:tc>
          <w:tcPr>
            <w:tcW w:w="8005" w:type="dxa"/>
            <w:vAlign w:val="center"/>
          </w:tcPr>
          <w:p w14:paraId="1A6559A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2"/>
                <w:sz w:val="28"/>
                <w:szCs w:val="28"/>
                <w:highlight w:val="none"/>
                <w:u w:val="none"/>
                <w:lang w:val="en-US" w:eastAsia="zh-CN" w:bidi="ar-SA"/>
              </w:rPr>
            </w:pPr>
            <w:r>
              <w:rPr>
                <w:rFonts w:hint="default" w:ascii="Times New Roman" w:hAnsi="Times New Roman" w:eastAsia="仿宋_GB2312" w:cs="Times New Roman"/>
                <w:i w:val="0"/>
                <w:iCs w:val="0"/>
                <w:color w:val="000000"/>
                <w:kern w:val="0"/>
                <w:sz w:val="28"/>
                <w:szCs w:val="28"/>
                <w:highlight w:val="none"/>
                <w:u w:val="none"/>
                <w:lang w:val="en-US" w:eastAsia="zh-CN" w:bidi="ar"/>
              </w:rPr>
              <w:t>《湖北省文化、旅游、文物领域综合执法行政处罚裁量基准（试行）》</w:t>
            </w:r>
          </w:p>
        </w:tc>
        <w:tc>
          <w:tcPr>
            <w:tcW w:w="1936" w:type="dxa"/>
            <w:vAlign w:val="center"/>
          </w:tcPr>
          <w:p w14:paraId="60737C84">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继续有效</w:t>
            </w:r>
          </w:p>
        </w:tc>
      </w:tr>
      <w:tr w14:paraId="27A5D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vAlign w:val="center"/>
          </w:tcPr>
          <w:p w14:paraId="49B4C253">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27</w:t>
            </w:r>
          </w:p>
        </w:tc>
        <w:tc>
          <w:tcPr>
            <w:tcW w:w="3518" w:type="dxa"/>
            <w:vAlign w:val="center"/>
          </w:tcPr>
          <w:p w14:paraId="1F3F618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p>
        </w:tc>
        <w:tc>
          <w:tcPr>
            <w:tcW w:w="8005" w:type="dxa"/>
            <w:vAlign w:val="center"/>
          </w:tcPr>
          <w:p w14:paraId="180000C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关于印发《2024年文化和旅游业 “引客入鄂”奖励政策方案》的 通知</w:t>
            </w:r>
          </w:p>
        </w:tc>
        <w:tc>
          <w:tcPr>
            <w:tcW w:w="1936" w:type="dxa"/>
            <w:vAlign w:val="center"/>
          </w:tcPr>
          <w:p w14:paraId="4319A9D3">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继续有效</w:t>
            </w:r>
          </w:p>
        </w:tc>
      </w:tr>
      <w:tr w14:paraId="166DA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vAlign w:val="center"/>
          </w:tcPr>
          <w:p w14:paraId="42751854">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kern w:val="2"/>
                <w:sz w:val="28"/>
                <w:szCs w:val="28"/>
                <w:highlight w:val="none"/>
                <w:vertAlign w:val="baseline"/>
                <w:lang w:val="en-US" w:eastAsia="zh-CN" w:bidi="ar-SA"/>
              </w:rPr>
              <w:t>28</w:t>
            </w:r>
          </w:p>
        </w:tc>
        <w:tc>
          <w:tcPr>
            <w:tcW w:w="3518" w:type="dxa"/>
            <w:vAlign w:val="center"/>
          </w:tcPr>
          <w:p w14:paraId="2ADAF84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p>
        </w:tc>
        <w:tc>
          <w:tcPr>
            <w:tcW w:w="8005" w:type="dxa"/>
            <w:vAlign w:val="center"/>
          </w:tcPr>
          <w:p w14:paraId="271CC85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湖北省文化和旅游厅鼓励引进和推介优秀剧目演出奖励性补贴办法（试行）</w:t>
            </w:r>
          </w:p>
        </w:tc>
        <w:tc>
          <w:tcPr>
            <w:tcW w:w="1936" w:type="dxa"/>
            <w:vAlign w:val="center"/>
          </w:tcPr>
          <w:p w14:paraId="58505676">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继续有效</w:t>
            </w:r>
          </w:p>
        </w:tc>
      </w:tr>
      <w:tr w14:paraId="3EBE4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9" w:type="dxa"/>
            <w:vAlign w:val="center"/>
          </w:tcPr>
          <w:p w14:paraId="30795E17">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eastAsia" w:ascii="Times New Roman" w:hAnsi="Times New Roman" w:eastAsia="仿宋_GB2312" w:cs="Times New Roman"/>
                <w:kern w:val="2"/>
                <w:sz w:val="28"/>
                <w:szCs w:val="28"/>
                <w:highlight w:val="none"/>
                <w:vertAlign w:val="baseline"/>
                <w:lang w:val="en-US" w:eastAsia="zh-CN" w:bidi="ar-SA"/>
              </w:rPr>
              <w:t>29</w:t>
            </w:r>
          </w:p>
        </w:tc>
        <w:tc>
          <w:tcPr>
            <w:tcW w:w="3518" w:type="dxa"/>
            <w:vAlign w:val="center"/>
          </w:tcPr>
          <w:p w14:paraId="73D5472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default" w:ascii="Times New Roman" w:hAnsi="Times New Roman" w:eastAsia="仿宋_GB2312" w:cs="Times New Roman"/>
                <w:i w:val="0"/>
                <w:iCs w:val="0"/>
                <w:color w:val="000000"/>
                <w:kern w:val="0"/>
                <w:sz w:val="28"/>
                <w:szCs w:val="28"/>
                <w:highlight w:val="none"/>
                <w:u w:val="none"/>
                <w:lang w:val="en-US" w:eastAsia="zh-CN" w:bidi="ar"/>
              </w:rPr>
              <w:t>鄂文旅发〔202</w:t>
            </w:r>
            <w:r>
              <w:rPr>
                <w:rFonts w:hint="eastAsia" w:ascii="Times New Roman" w:hAnsi="Times New Roman" w:eastAsia="仿宋_GB2312" w:cs="Times New Roman"/>
                <w:i w:val="0"/>
                <w:iCs w:val="0"/>
                <w:color w:val="000000"/>
                <w:kern w:val="0"/>
                <w:sz w:val="28"/>
                <w:szCs w:val="28"/>
                <w:highlight w:val="none"/>
                <w:u w:val="none"/>
                <w:lang w:val="en-US" w:eastAsia="zh-CN" w:bidi="ar"/>
              </w:rPr>
              <w:t>4</w:t>
            </w:r>
            <w:r>
              <w:rPr>
                <w:rFonts w:hint="default" w:ascii="Times New Roman" w:hAnsi="Times New Roman" w:eastAsia="仿宋_GB2312" w:cs="Times New Roman"/>
                <w:i w:val="0"/>
                <w:iCs w:val="0"/>
                <w:color w:val="000000"/>
                <w:kern w:val="0"/>
                <w:sz w:val="28"/>
                <w:szCs w:val="28"/>
                <w:highlight w:val="none"/>
                <w:u w:val="none"/>
                <w:lang w:val="en-US" w:eastAsia="zh-CN" w:bidi="ar"/>
              </w:rPr>
              <w:t>〕18 号</w:t>
            </w:r>
          </w:p>
        </w:tc>
        <w:tc>
          <w:tcPr>
            <w:tcW w:w="8005" w:type="dxa"/>
            <w:vAlign w:val="center"/>
          </w:tcPr>
          <w:p w14:paraId="241DA9B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i w:val="0"/>
                <w:iCs w:val="0"/>
                <w:color w:val="000000"/>
                <w:kern w:val="0"/>
                <w:sz w:val="28"/>
                <w:szCs w:val="28"/>
                <w:highlight w:val="none"/>
                <w:u w:val="none"/>
                <w:lang w:val="en-US" w:eastAsia="zh-CN" w:bidi="ar"/>
              </w:rPr>
            </w:pPr>
            <w:r>
              <w:rPr>
                <w:rFonts w:hint="eastAsia" w:ascii="Times New Roman" w:hAnsi="Times New Roman" w:eastAsia="仿宋_GB2312" w:cs="Times New Roman"/>
                <w:i w:val="0"/>
                <w:iCs w:val="0"/>
                <w:color w:val="000000"/>
                <w:kern w:val="0"/>
                <w:sz w:val="28"/>
                <w:szCs w:val="28"/>
                <w:highlight w:val="none"/>
                <w:u w:val="none"/>
                <w:lang w:val="en-US" w:eastAsia="zh-CN" w:bidi="ar"/>
              </w:rPr>
              <w:t>关于印发《湖北省剧本娱乐内容审核规范（试行）》的通知</w:t>
            </w:r>
          </w:p>
        </w:tc>
        <w:tc>
          <w:tcPr>
            <w:tcW w:w="1936" w:type="dxa"/>
            <w:vAlign w:val="center"/>
          </w:tcPr>
          <w:p w14:paraId="518EDC4B">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kern w:val="2"/>
                <w:sz w:val="28"/>
                <w:szCs w:val="28"/>
                <w:highlight w:val="none"/>
                <w:vertAlign w:val="baseline"/>
                <w:lang w:val="en-US" w:eastAsia="zh-CN" w:bidi="ar-SA"/>
              </w:rPr>
            </w:pPr>
            <w:r>
              <w:rPr>
                <w:rFonts w:hint="default" w:ascii="Times New Roman" w:hAnsi="Times New Roman" w:eastAsia="仿宋_GB2312" w:cs="Times New Roman"/>
                <w:sz w:val="28"/>
                <w:szCs w:val="28"/>
                <w:highlight w:val="none"/>
                <w:vertAlign w:val="baseline"/>
                <w:lang w:val="en-US" w:eastAsia="zh-CN"/>
              </w:rPr>
              <w:t>继续有效</w:t>
            </w:r>
          </w:p>
        </w:tc>
      </w:tr>
    </w:tbl>
    <w:p w14:paraId="735ECC2B"/>
    <w:sectPr>
      <w:pgSz w:w="16838" w:h="11906" w:orient="landscape"/>
      <w:pgMar w:top="1587" w:right="2018" w:bottom="1474" w:left="2075" w:header="851" w:footer="879" w:gutter="0"/>
      <w:pgNumType w:fmt="decimal"/>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BE95E60-CFF6-4E95-BA7E-1E4C42CB352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39A4CE2-C29C-4E9F-8EE1-B245BCB6DF61}"/>
  </w:font>
  <w:font w:name="方正小标宋简体">
    <w:panose1 w:val="02000000000000000000"/>
    <w:charset w:val="86"/>
    <w:family w:val="auto"/>
    <w:pitch w:val="default"/>
    <w:sig w:usb0="00000001" w:usb1="08000000" w:usb2="00000000" w:usb3="00000000" w:csb0="00040000" w:csb1="00000000"/>
    <w:embedRegular r:id="rId3" w:fontKey="{62ABB721-EA69-41F9-A894-139B64AF4CE8}"/>
  </w:font>
  <w:font w:name="仿宋_GB2312">
    <w:altName w:val="仿宋"/>
    <w:panose1 w:val="02010609030101010101"/>
    <w:charset w:val="86"/>
    <w:family w:val="auto"/>
    <w:pitch w:val="default"/>
    <w:sig w:usb0="00000000" w:usb1="00000000" w:usb2="00000000" w:usb3="00000000" w:csb0="00040000" w:csb1="00000000"/>
    <w:embedRegular r:id="rId4" w:fontKey="{31366EFE-72DC-46FC-AB07-8DF6BB2684E2}"/>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34188A"/>
    <w:rsid w:val="143418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2025-01-23T13:44:00Z</dcterms:created>
  <dc:creator>。</dc:creator>
  <cp:lastModifiedBy>。</cp:lastModifiedBy>
  <dcterms:modified xsi:type="dcterms:W3CDTF">2025-01-23T13:46:04Z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C8023E75A37B43E2820A96D439408403_11</vt:lpwstr>
  </property>
  <property fmtid="{D5CDD505-2E9C-101B-9397-08002B2CF9AE}" pid="4" name="KSOTemplateDocerSaveRecord">
    <vt:lpwstr>eyJoZGlkIjoiYzY5YjA3NzIwODlhZmZiYWVmNzU0YmI5YmNhYTQ1MTEiLCJ1c2VySWQiOiIxNTg4OTM2ODQxIn0=</vt:lpwstr>
  </property>
</Properties>
</file>